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B3" w:rsidRDefault="00C01090" w:rsidP="000F6612">
      <w:pPr>
        <w:jc w:val="center"/>
        <w:rPr>
          <w:rStyle w:val="fontstyle21"/>
          <w:b w:val="0"/>
          <w:i w:val="0"/>
        </w:rPr>
      </w:pPr>
      <w:r>
        <w:rPr>
          <w:rStyle w:val="fontstyle01"/>
        </w:rPr>
        <w:t>ACQUISTO DI IMMOBILI IN FRANCIA</w:t>
      </w:r>
      <w:r>
        <w:rPr>
          <w:rFonts w:ascii="Bold" w:hAnsi="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PROCEDURE - GARANZIE – FISCALITA'</w:t>
      </w:r>
      <w:r>
        <w:rPr>
          <w:rFonts w:ascii="BoldItalic" w:hAnsi="BoldItalic"/>
          <w:b/>
          <w:bCs/>
          <w:i/>
          <w:iCs/>
          <w:color w:val="000000"/>
        </w:rPr>
        <w:br/>
      </w:r>
      <w:r>
        <w:rPr>
          <w:rStyle w:val="fontstyle21"/>
        </w:rPr>
        <w:t>Quanto sotto elencato non è un trattato di diritto immobiliare o fiscale francese ma solo una</w:t>
      </w:r>
      <w:r>
        <w:rPr>
          <w:rFonts w:ascii="BoldItalic" w:hAnsi="BoldItalic"/>
          <w:b/>
          <w:bCs/>
          <w:i/>
          <w:iCs/>
          <w:color w:val="000000"/>
        </w:rPr>
        <w:br/>
      </w:r>
      <w:r>
        <w:rPr>
          <w:rStyle w:val="fontstyle21"/>
        </w:rPr>
        <w:t>guida semplificata sulla realtà del settore in Francia.</w:t>
      </w:r>
      <w:r>
        <w:rPr>
          <w:rFonts w:ascii="BoldItalic" w:hAnsi="BoldItalic"/>
          <w:b/>
          <w:bCs/>
          <w:i/>
          <w:iCs/>
          <w:color w:val="000000"/>
        </w:rPr>
        <w:br/>
      </w:r>
      <w:r>
        <w:rPr>
          <w:rStyle w:val="fontstyle21"/>
        </w:rPr>
        <w:t>Ogni approfondimento potrà essere effettuato attraverso la consulenza dei professionisti</w:t>
      </w:r>
      <w:r>
        <w:rPr>
          <w:rFonts w:ascii="BoldItalic" w:hAnsi="BoldItalic"/>
          <w:b/>
          <w:bCs/>
          <w:i/>
          <w:iCs/>
          <w:color w:val="000000"/>
        </w:rPr>
        <w:br/>
      </w:r>
      <w:r>
        <w:rPr>
          <w:rStyle w:val="fontstyle21"/>
        </w:rPr>
        <w:t xml:space="preserve">Francesi che collaborano abitualmente con </w:t>
      </w:r>
      <w:r w:rsidR="009166B3">
        <w:rPr>
          <w:rStyle w:val="fontstyle21"/>
        </w:rPr>
        <w:t>RCM INVEST</w:t>
      </w:r>
    </w:p>
    <w:p w:rsidR="00C554DB" w:rsidRDefault="00C01090" w:rsidP="009166B3">
      <w:pPr>
        <w:rPr>
          <w:rStyle w:val="fontstyle31"/>
        </w:rPr>
      </w:pPr>
      <w:r>
        <w:rPr>
          <w:rFonts w:ascii="BoldItalic" w:hAnsi="BoldItalic"/>
          <w:b/>
          <w:bCs/>
          <w:i/>
          <w:iCs/>
          <w:color w:val="000000"/>
        </w:rPr>
        <w:br/>
      </w:r>
      <w:r>
        <w:rPr>
          <w:rStyle w:val="fontstyle01"/>
          <w:sz w:val="24"/>
          <w:szCs w:val="24"/>
        </w:rPr>
        <w:t>1. PROCEDURE DI ACQUISTO DI UN IMMOBILE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>Il sistema francese per l'acquisto di un immobile prevede la realizzazione della vendita attraverso un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rogito notarile e la trascrizione della vendita al catasto immobiliare così come avviene in Italia.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 xml:space="preserve">Normalmente la realizzazione della vendita è preceduta </w:t>
      </w:r>
      <w:r w:rsidR="009166B3">
        <w:rPr>
          <w:rStyle w:val="fontstyle31"/>
        </w:rPr>
        <w:t xml:space="preserve">dalla sottoscrizione da parte </w:t>
      </w:r>
      <w:r w:rsidR="000F6612">
        <w:rPr>
          <w:rStyle w:val="fontstyle31"/>
        </w:rPr>
        <w:t>dell’acquirente</w:t>
      </w:r>
      <w:r>
        <w:rPr>
          <w:rFonts w:ascii="TimesNewRoman" w:hAnsi="TimesNewRoman"/>
          <w:color w:val="000000"/>
        </w:rPr>
        <w:br/>
      </w:r>
      <w:r w:rsidR="009166B3">
        <w:rPr>
          <w:rStyle w:val="fontstyle31"/>
        </w:rPr>
        <w:t>e del venditore</w:t>
      </w:r>
      <w:r>
        <w:rPr>
          <w:rStyle w:val="fontstyle31"/>
        </w:rPr>
        <w:t xml:space="preserve"> </w:t>
      </w:r>
      <w:r w:rsidR="009166B3">
        <w:rPr>
          <w:rStyle w:val="fontstyle31"/>
        </w:rPr>
        <w:t xml:space="preserve">COMPROMIS </w:t>
      </w:r>
      <w:r w:rsidR="000F6612">
        <w:rPr>
          <w:rStyle w:val="fontstyle31"/>
        </w:rPr>
        <w:t>(Compromesso</w:t>
      </w:r>
      <w:r w:rsidR="009166B3">
        <w:rPr>
          <w:rStyle w:val="fontstyle31"/>
        </w:rPr>
        <w:t xml:space="preserve">). All’accettazione l’acquirente verserà al Notaio incaricato di redigere l’atto di acquisto </w:t>
      </w:r>
      <w:r>
        <w:rPr>
          <w:rStyle w:val="fontstyle31"/>
        </w:rPr>
        <w:t xml:space="preserve">una somma di denaro a titolo di </w:t>
      </w:r>
      <w:r w:rsidR="009166B3">
        <w:rPr>
          <w:rStyle w:val="fontstyle31"/>
        </w:rPr>
        <w:t>CAPARRA che verrà persa dall’acquirente se rinunciasse all’acquisto e dovrà essere restituita in misura doppia se il venditore rinunciasse a vendere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Tale somma resta nelle mani di notaio fino alla firma del rogito dopo di che</w:t>
      </w:r>
      <w:r w:rsidR="009166B3">
        <w:rPr>
          <w:rFonts w:ascii="TimesNewRoman" w:hAnsi="TimesNewRoman"/>
          <w:color w:val="000000"/>
        </w:rPr>
        <w:t xml:space="preserve"> </w:t>
      </w:r>
      <w:r>
        <w:rPr>
          <w:rStyle w:val="fontstyle31"/>
        </w:rPr>
        <w:t xml:space="preserve">verrà versata al venditore come parte del prezzo. Se chi ha sottoscritto </w:t>
      </w:r>
      <w:r w:rsidR="00496835">
        <w:rPr>
          <w:rStyle w:val="fontstyle31"/>
        </w:rPr>
        <w:t>il COMPROMESSO</w:t>
      </w:r>
      <w:r>
        <w:rPr>
          <w:rStyle w:val="fontstyle31"/>
        </w:rPr>
        <w:t xml:space="preserve"> ha intenzione di finanziare l'acquisto con un mutuo dovrà</w:t>
      </w:r>
      <w:r w:rsidR="009166B3">
        <w:rPr>
          <w:rStyle w:val="fontstyle31"/>
        </w:rPr>
        <w:t xml:space="preserve"> </w:t>
      </w:r>
      <w:r>
        <w:rPr>
          <w:rStyle w:val="fontstyle31"/>
        </w:rPr>
        <w:t>indicarlo nel compromesso</w:t>
      </w:r>
      <w:r w:rsidR="00496835">
        <w:rPr>
          <w:rStyle w:val="fontstyle31"/>
        </w:rPr>
        <w:t xml:space="preserve"> stesso</w:t>
      </w:r>
      <w:r>
        <w:rPr>
          <w:rStyle w:val="fontstyle31"/>
        </w:rPr>
        <w:t xml:space="preserve"> perché, in caso di mancata concessione del mutuo,</w:t>
      </w:r>
      <w:r w:rsidR="009166B3">
        <w:rPr>
          <w:rStyle w:val="fontstyle31"/>
        </w:rPr>
        <w:t xml:space="preserve"> </w:t>
      </w:r>
      <w:r>
        <w:rPr>
          <w:rStyle w:val="fontstyle31"/>
        </w:rPr>
        <w:t>avrà diritto alla restituzione della caparra anche se non realizzerà l'acquisto (vedi capitolo garanzie).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La sottoscrizione del rogito di acquisto dovrà essere fatta davanti al notaio Francese con la presenza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di un’interprete o tramite procura notarile firmata davanti ad un Notaio Italiano.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Al momento del rogito l'acquirente dovrà aver fatto perveni</w:t>
      </w:r>
      <w:r w:rsidR="009166B3">
        <w:rPr>
          <w:rStyle w:val="fontstyle31"/>
        </w:rPr>
        <w:t>re con bonifico bancario addebitato su un c/c del quale l’acquirente sia intestatario o cointestatario</w:t>
      </w:r>
      <w:r>
        <w:rPr>
          <w:rStyle w:val="fontstyle31"/>
        </w:rPr>
        <w:t xml:space="preserve"> la somma residua per il</w:t>
      </w:r>
      <w:r w:rsidR="00496835">
        <w:rPr>
          <w:rFonts w:ascii="TimesNewRoman" w:hAnsi="TimesNewRoman"/>
          <w:color w:val="000000"/>
        </w:rPr>
        <w:t xml:space="preserve"> </w:t>
      </w:r>
      <w:r>
        <w:rPr>
          <w:rStyle w:val="fontstyle31"/>
        </w:rPr>
        <w:t>pagamento</w:t>
      </w:r>
      <w:r w:rsidR="00496835">
        <w:rPr>
          <w:rStyle w:val="fontstyle31"/>
        </w:rPr>
        <w:t xml:space="preserve"> </w:t>
      </w:r>
      <w:r>
        <w:rPr>
          <w:rStyle w:val="fontstyle31"/>
        </w:rPr>
        <w:t>totale del prezzo e delle spese notarili.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In caso di acquisto con mutuo tutte le pratiche di mutuo verranno svolte prima del rogito e la Banca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mutuante farà avere direttamente al notaio la somma mutuata.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Alla firma del rogito il notaio rilascerà una attestazione di acquisto mentre il contratto di acquisto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vero e proprio verrà inviato all'acquirente solo dopo l'avvenuta registrazione presso il catasto e la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relativa annotazione sul contratto stesso. Per ottenere questa annotazione occorreranno alcuni mesi.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31"/>
        </w:rPr>
        <w:t xml:space="preserve">Sarà compito del notaio verificare la presenza di ipoteche, debiti verso il condominio ed il fisco </w:t>
      </w:r>
      <w:r w:rsidR="009166B3">
        <w:rPr>
          <w:rStyle w:val="fontstyle31"/>
        </w:rPr>
        <w:t xml:space="preserve">da parte del venditore </w:t>
      </w:r>
      <w:r>
        <w:rPr>
          <w:rStyle w:val="fontstyle31"/>
        </w:rPr>
        <w:t>in</w:t>
      </w:r>
      <w:r w:rsidR="009166B3">
        <w:rPr>
          <w:rFonts w:ascii="TimesNewRoman" w:hAnsi="TimesNewRoman"/>
          <w:color w:val="000000"/>
        </w:rPr>
        <w:t xml:space="preserve"> </w:t>
      </w:r>
      <w:r>
        <w:rPr>
          <w:rStyle w:val="fontstyle31"/>
        </w:rPr>
        <w:t>modo che, una volta incassato il prezzo della vendita e prima di versarlo al venditore, vengano</w:t>
      </w:r>
      <w:r w:rsidR="009166B3">
        <w:rPr>
          <w:rFonts w:ascii="TimesNewRoman" w:hAnsi="TimesNewRoman"/>
          <w:color w:val="000000"/>
        </w:rPr>
        <w:t xml:space="preserve"> </w:t>
      </w:r>
      <w:r>
        <w:rPr>
          <w:rStyle w:val="fontstyle31"/>
        </w:rPr>
        <w:t>pagati tutti gli eventuali creditori.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Non sarà pertanto possibile subentrare ad un finanziamento in essere acceso dal venditore ma, in tal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caso, il notaio provvederà a rimborsare totalmente il vecchio mutuo prima di aprirne uno nuovo 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nome dell'acquirente.</w:t>
      </w:r>
    </w:p>
    <w:p w:rsidR="00C554DB" w:rsidRDefault="00C01090" w:rsidP="009166B3">
      <w:pPr>
        <w:rPr>
          <w:rStyle w:val="fontstyle01"/>
          <w:sz w:val="24"/>
          <w:szCs w:val="24"/>
        </w:rPr>
      </w:pPr>
      <w:r>
        <w:rPr>
          <w:rFonts w:ascii="TimesNewRoman" w:hAnsi="TimesNewRoman"/>
          <w:color w:val="000000"/>
        </w:rPr>
        <w:br/>
      </w:r>
      <w:r w:rsidR="009166B3">
        <w:rPr>
          <w:rStyle w:val="fontstyle01"/>
          <w:sz w:val="24"/>
          <w:szCs w:val="24"/>
        </w:rPr>
        <w:t xml:space="preserve">                                                                2</w:t>
      </w:r>
      <w:r>
        <w:rPr>
          <w:rStyle w:val="fontstyle01"/>
          <w:sz w:val="24"/>
          <w:szCs w:val="24"/>
        </w:rPr>
        <w:t>. GARANZIE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>Una serie di leggi apposite ha creato un sistema di garanzie a favore degli acquirenti di immobili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rendendo i mercato immobiliare Francese particolarmente interessante anche per chi acquista a solo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scopo di investimento. Esse riguardano soprattutto la copertura dal rischio di acquistare immobili in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costruzione, rischi sul pagamento del prezzo, rischio sull’acquisto di immobili con vizi occulti o da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persone con situazioni finanziarie difficili, rischi relativi al non ottenimento del mutuo per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finanziare l’acquisto e rischi relativi al rogito</w:t>
      </w:r>
      <w:r>
        <w:br/>
      </w:r>
      <w:r>
        <w:rPr>
          <w:rFonts w:ascii="TimesNewRoman" w:hAnsi="TimesNewRoman"/>
          <w:color w:val="000000"/>
          <w:sz w:val="20"/>
          <w:szCs w:val="20"/>
        </w:rPr>
        <w:br/>
      </w:r>
    </w:p>
    <w:p w:rsidR="00C554DB" w:rsidRDefault="00C554DB" w:rsidP="009166B3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                                                                        - 2 -</w:t>
      </w:r>
    </w:p>
    <w:p w:rsidR="00C554DB" w:rsidRPr="00496835" w:rsidRDefault="009166B3" w:rsidP="009166B3">
      <w:pPr>
        <w:rPr>
          <w:rFonts w:ascii="TimesNewRoman" w:hAnsi="TimesNew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2</w:t>
      </w:r>
      <w:r w:rsidR="00C01090">
        <w:rPr>
          <w:rStyle w:val="fontstyle01"/>
          <w:sz w:val="24"/>
          <w:szCs w:val="24"/>
        </w:rPr>
        <w:t xml:space="preserve">.1 Rischi nell’acquisto di immobili in costruzione: </w:t>
      </w:r>
      <w:r w:rsidR="00C01090">
        <w:rPr>
          <w:rStyle w:val="fontstyle31"/>
        </w:rPr>
        <w:t>una particolare attenzione è stata posta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dal legislatore francese per proteggere gli acquirenti di immobili in costruzione. In questo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caso il rogito di acquisto viene realizzato a lavori non ancora terminati e l'acquirente diventa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proprietario di un immobile in "stato di futura consegna". Al momento del rogito pagherà il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valore dell'immobile secondo lo stato di avanzamento lavori e la rimanente parte del prezzo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all'effettivo avanzamento dei lavori stessi. Se nel frattempo l'impresa di costruzioni dovesse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fallire è obbligatorio che vi sia una Banca o Istituto Finanziario che garantisca la consegna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dell’immobile. Sarà il notaio che, prima del rogito, dovrà verificare che questa garanzia sia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stata approntata. In caso l'immobile costruito non corrispondesse a quanto indicato nelle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piantine di vendita o nel capitolato con le caratteristiche tecniche sono previste riduzioni di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prezzo proporzionali in caso di piccole differenze (fino al 5% di quanto previsto) oppure la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restituzione di quanto versato in caso di ritardi o differenze sostanziali.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2</w:t>
      </w:r>
      <w:r w:rsidR="00C01090">
        <w:rPr>
          <w:rStyle w:val="fontstyle01"/>
          <w:sz w:val="24"/>
          <w:szCs w:val="24"/>
        </w:rPr>
        <w:t xml:space="preserve">.2 Rischi nel pagamento del prezzo: </w:t>
      </w:r>
      <w:r w:rsidR="00C01090">
        <w:rPr>
          <w:rStyle w:val="fontstyle31"/>
        </w:rPr>
        <w:t>il pagamento del prezzo di acquisto, sia per quanto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riguarda la caparra che il saldo avviene solo tramite notaio. Infatti l’acquirente dovrà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trasferire il denaro sul c/c del Notaio presso la </w:t>
      </w:r>
      <w:proofErr w:type="spellStart"/>
      <w:r w:rsidR="00C01090">
        <w:rPr>
          <w:rStyle w:val="fontstyle31"/>
        </w:rPr>
        <w:t>Caisse</w:t>
      </w:r>
      <w:proofErr w:type="spellEnd"/>
      <w:r w:rsidR="00C01090">
        <w:rPr>
          <w:rStyle w:val="fontstyle31"/>
        </w:rPr>
        <w:t xml:space="preserve"> </w:t>
      </w:r>
      <w:proofErr w:type="spellStart"/>
      <w:r w:rsidR="00C01090">
        <w:rPr>
          <w:rStyle w:val="fontstyle31"/>
        </w:rPr>
        <w:t>Depot</w:t>
      </w:r>
      <w:proofErr w:type="spellEnd"/>
      <w:r w:rsidR="00C01090">
        <w:rPr>
          <w:rStyle w:val="fontstyle31"/>
        </w:rPr>
        <w:t xml:space="preserve"> et </w:t>
      </w:r>
      <w:proofErr w:type="spellStart"/>
      <w:r w:rsidR="00C01090">
        <w:rPr>
          <w:rStyle w:val="fontstyle31"/>
        </w:rPr>
        <w:t>Consignation</w:t>
      </w:r>
      <w:proofErr w:type="spellEnd"/>
      <w:r w:rsidR="00C01090">
        <w:rPr>
          <w:rStyle w:val="fontstyle31"/>
        </w:rPr>
        <w:t xml:space="preserve"> (Cassa Depositi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e Prestiti in Italia) solo attraverso assegni di c/c Francese o bonifici Bancari</w:t>
      </w:r>
      <w:r w:rsidR="00496835">
        <w:rPr>
          <w:rStyle w:val="fontstyle31"/>
        </w:rPr>
        <w:t xml:space="preserve"> effettuati da un c/c del quale intestatario o cointestatario</w:t>
      </w:r>
      <w:r w:rsidR="00C01090">
        <w:rPr>
          <w:rStyle w:val="fontstyle31"/>
        </w:rPr>
        <w:t>. Sarà il Notaio</w:t>
      </w:r>
      <w:r w:rsidR="00496835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che, dopo il rogito, provvederà a trasferire il denaro al Venditore.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2</w:t>
      </w:r>
      <w:r w:rsidR="00C01090">
        <w:rPr>
          <w:rStyle w:val="fontstyle01"/>
          <w:sz w:val="24"/>
          <w:szCs w:val="24"/>
        </w:rPr>
        <w:t>.3 Rischi occulti</w:t>
      </w:r>
      <w:r w:rsidR="00C01090">
        <w:rPr>
          <w:rStyle w:val="fontstyle31"/>
        </w:rPr>
        <w:t xml:space="preserve">: in caso di acquisto di immobile nuovo da un operatore </w:t>
      </w:r>
      <w:proofErr w:type="gramStart"/>
      <w:r w:rsidR="00C01090">
        <w:rPr>
          <w:rStyle w:val="fontstyle31"/>
        </w:rPr>
        <w:t>professionale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(</w:t>
      </w:r>
      <w:proofErr w:type="gramEnd"/>
      <w:r w:rsidR="00C01090">
        <w:rPr>
          <w:rStyle w:val="fontstyle31"/>
        </w:rPr>
        <w:t>costruttore, promotore immobiliare o commerciante in immobili) è obbligatoria la presenza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di una copertura assicurativa di due anni per gli accessori dell'immobile (impiantistica,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serramenti ecc.) e di dieci anni per la struttura immobiliare. Sarà il notaio che redige l'atto di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acquisto che dovrà aver verificato la stipula da parte del venditore dei detti contratti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assicurativi. Nel caso di acquisto da parte di un privato di un immobile usato venduto da un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operatore professionista il venditore sarà comunque responsabile dei vizi occulti non indicati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in atto. Nessuna garanzia se invece si acquista un appartamento d’occasione da un privato.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2</w:t>
      </w:r>
      <w:r w:rsidR="00C01090">
        <w:rPr>
          <w:rStyle w:val="fontstyle01"/>
          <w:sz w:val="24"/>
          <w:szCs w:val="24"/>
        </w:rPr>
        <w:t>.4 Rischi dovuti alla situazione finanziaria del venditore</w:t>
      </w:r>
      <w:r w:rsidR="00C01090">
        <w:rPr>
          <w:rStyle w:val="fontstyle31"/>
        </w:rPr>
        <w:t>: il pagamento del prezzo avviene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versando il prezzo sul conto corrente del notaio che, prima di trasferire la somma al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venditore, provvederà a contattare gli Enti a favore dei quali sono iscritte ipoteche, il </w:t>
      </w:r>
      <w:proofErr w:type="gramStart"/>
      <w:r w:rsidR="00C01090">
        <w:rPr>
          <w:rStyle w:val="fontstyle31"/>
        </w:rPr>
        <w:t>fisco,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l’amministratore</w:t>
      </w:r>
      <w:proofErr w:type="gramEnd"/>
      <w:r w:rsidR="00C01090">
        <w:rPr>
          <w:rStyle w:val="fontstyle31"/>
        </w:rPr>
        <w:t xml:space="preserve"> del condominio ecc.. Le somme eventualmente richieste da questi creditori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verranno trattenute dal Notaio in attesa della valutazione della certezza del loro credito 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solo la rimanente parte verrà trasferita al venditore. L'acquirente avrà così la certezza di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acquistare un bene libero da ogni vincolo.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2</w:t>
      </w:r>
      <w:r w:rsidR="00C01090">
        <w:rPr>
          <w:rStyle w:val="fontstyle01"/>
          <w:sz w:val="24"/>
          <w:szCs w:val="24"/>
        </w:rPr>
        <w:t>.5 Rischi relativi all’ottenimento del mutuo</w:t>
      </w:r>
      <w:r w:rsidR="00C01090">
        <w:rPr>
          <w:rStyle w:val="fontstyle31"/>
        </w:rPr>
        <w:t>: chi intende finanziare l'acquisto sottoscrivendo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un mutuo deve indicarlo nella promessa di acquisto. L'indicazione dell'intenzione di ricorrere ad un mutuo gli permetterà di avere il tempo</w:t>
      </w:r>
      <w:r w:rsidR="00496835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necessario per svolgere le pratiche senza che il venditore possa vendere ad altri l'immobile.</w:t>
      </w:r>
      <w:r w:rsidR="00C01090">
        <w:rPr>
          <w:rFonts w:ascii="TimesNewRoman" w:hAnsi="TimesNewRoman"/>
          <w:color w:val="000000"/>
        </w:rPr>
        <w:br/>
      </w:r>
      <w:r w:rsidR="00496835">
        <w:rPr>
          <w:rStyle w:val="fontstyle31"/>
        </w:rPr>
        <w:t xml:space="preserve">Se poi non riuscisse ad ottenerlo </w:t>
      </w:r>
      <w:r w:rsidR="00C01090">
        <w:rPr>
          <w:rStyle w:val="fontstyle31"/>
        </w:rPr>
        <w:t>potrà rinunciare</w:t>
      </w:r>
      <w:r w:rsidR="00496835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all'acquisto ed avere diritto alla restituzione della caparra da parte del notaio senza nessuna penale. Per quanto riguarda invece i rapporti con le Banche, una</w:t>
      </w:r>
      <w:r w:rsidR="00496835">
        <w:rPr>
          <w:rStyle w:val="fontstyle31"/>
        </w:rPr>
        <w:t xml:space="preserve"> </w:t>
      </w:r>
      <w:r w:rsidR="00C01090">
        <w:rPr>
          <w:rStyle w:val="fontstyle31"/>
        </w:rPr>
        <w:t>volta forniti alla Banca i documenti richiesti ed ottenuta l'approvazione sulla concessione del</w:t>
      </w:r>
      <w:r w:rsidR="00496835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finanziamento, il richiedente riceverà da parte della Banca e per raccomandata la proposta di</w:t>
      </w:r>
      <w:r w:rsidR="00496835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 xml:space="preserve">mutuo con indicati chiaramente tutti i termini del contratto di finanziamento. Solo dopo </w:t>
      </w:r>
      <w:proofErr w:type="spellStart"/>
      <w:r w:rsidR="00C01090">
        <w:rPr>
          <w:rStyle w:val="fontstyle31"/>
        </w:rPr>
        <w:t>averpreso</w:t>
      </w:r>
      <w:proofErr w:type="spellEnd"/>
      <w:r w:rsidR="00C01090">
        <w:rPr>
          <w:rStyle w:val="fontstyle31"/>
        </w:rPr>
        <w:t xml:space="preserve"> visione di questo contratto potrà accettarlo restituendolo per raccomandata alla Banca</w:t>
      </w:r>
      <w:r w:rsidR="00C01090">
        <w:rPr>
          <w:rFonts w:ascii="TimesNewRoman" w:hAnsi="TimesNewRoman"/>
          <w:color w:val="000000"/>
          <w:sz w:val="20"/>
          <w:szCs w:val="20"/>
        </w:rPr>
        <w:br/>
      </w:r>
      <w:r w:rsidR="00C01090">
        <w:rPr>
          <w:rStyle w:val="fontstyle31"/>
        </w:rPr>
        <w:t>stessa. Questo sarà il contratto finale di mutuo che regolerà i rapporti tra le parti fino alla sua</w:t>
      </w:r>
    </w:p>
    <w:p w:rsidR="00C554DB" w:rsidRDefault="00C554DB" w:rsidP="009166B3">
      <w:pPr>
        <w:rPr>
          <w:rFonts w:ascii="TimesNewRoman" w:hAnsi="TimesNewRoman"/>
          <w:color w:val="000000"/>
        </w:rPr>
      </w:pPr>
    </w:p>
    <w:p w:rsidR="00C554DB" w:rsidRDefault="00C554DB" w:rsidP="00C554DB">
      <w:pPr>
        <w:pStyle w:val="Paragrafoelenco"/>
        <w:ind w:left="4080"/>
        <w:rPr>
          <w:rStyle w:val="fontstyle31"/>
        </w:rPr>
      </w:pPr>
      <w:r>
        <w:rPr>
          <w:rStyle w:val="fontstyle31"/>
        </w:rPr>
        <w:lastRenderedPageBreak/>
        <w:t>3</w:t>
      </w:r>
    </w:p>
    <w:p w:rsidR="00C554DB" w:rsidRPr="00C554DB" w:rsidRDefault="00C554DB" w:rsidP="009166B3">
      <w:pPr>
        <w:rPr>
          <w:rStyle w:val="fontstyle31"/>
          <w:sz w:val="22"/>
          <w:szCs w:val="22"/>
        </w:rPr>
      </w:pPr>
      <w:proofErr w:type="gramStart"/>
      <w:r>
        <w:rPr>
          <w:rStyle w:val="fontstyle31"/>
        </w:rPr>
        <w:t>e</w:t>
      </w:r>
      <w:r w:rsidR="00C01090">
        <w:rPr>
          <w:rStyle w:val="fontstyle31"/>
        </w:rPr>
        <w:t>stinzione</w:t>
      </w:r>
      <w:proofErr w:type="gramEnd"/>
      <w:r w:rsidR="00C01090">
        <w:rPr>
          <w:rStyle w:val="fontstyle31"/>
        </w:rPr>
        <w:t>. Una volta che la Banca avrà ricevuto questo contratto firmato contatterà il notaio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incaricato della stipula del rogito e, il giorno della stipula, gli farà avere direttamente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l'assegno dell'importo del finanziamento. L'acquirente dovrà pertanto trasferire al notaio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solamente il denaro relativo al suo apporto personale</w:t>
      </w:r>
      <w:r w:rsidR="00C01090">
        <w:rPr>
          <w:rStyle w:val="fontstyle01"/>
          <w:sz w:val="24"/>
          <w:szCs w:val="24"/>
        </w:rPr>
        <w:t>.</w:t>
      </w:r>
      <w:r w:rsidR="00C01090">
        <w:rPr>
          <w:rFonts w:ascii="Bold" w:hAnsi="Bold"/>
          <w:b/>
          <w:bCs/>
          <w:color w:val="000000"/>
        </w:rPr>
        <w:br/>
      </w:r>
      <w:r w:rsidR="00C01090">
        <w:rPr>
          <w:rStyle w:val="fontstyle01"/>
          <w:sz w:val="24"/>
          <w:szCs w:val="24"/>
        </w:rPr>
        <w:t>3.6 Rischi relativi al rogito</w:t>
      </w:r>
      <w:r w:rsidR="00C01090">
        <w:rPr>
          <w:rStyle w:val="fontstyle31"/>
        </w:rPr>
        <w:t>: una volta sottoscritto il compromesso ed ottenuto l'eventuale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finanziamento l'acquirente riceverà a casa, da parte del notaio e per raccomandata, il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progetto di atto. Da questo momento avrà sette giorni di tempo per manifestare il proprio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disaccordo e chiedere la restituzione della caparra versata senza dover pagare nessuna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penale. Passati i sette giorni senza contestazione le somme versate verranno perse in caso di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mancato acquisto. Al rogito sarà presente un'interprete a meno che il notaio garantisca che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ha tradotto lui in italiano il testo del rogito e si assuma la responsabilità di eventuali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contestazioni successive. Nel caso poi in cui il notaio facesse uno sbaglio professionale per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legge deve essere assicurato in modo che l'eventuale danno causato dal suo errore sia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rimborsato dall’assicurazione.</w:t>
      </w:r>
    </w:p>
    <w:p w:rsidR="00496835" w:rsidRDefault="00C01090" w:rsidP="009166B3">
      <w:pPr>
        <w:rPr>
          <w:rStyle w:val="fontstyle31"/>
        </w:rPr>
      </w:pPr>
      <w:r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. FISCO ED ONERI NOTARILI SULL'ACQUISTO</w:t>
      </w:r>
      <w:r>
        <w:rPr>
          <w:rFonts w:ascii="Bold" w:hAnsi="Bold"/>
          <w:b/>
          <w:bCs/>
          <w:color w:val="000000"/>
        </w:rPr>
        <w:br/>
      </w:r>
      <w:r w:rsidR="00C554DB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.1 Immobili nuovi o in costruzione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 xml:space="preserve">L'acquisto di immobili in costruzione o che abbiano meno di 5 anni di vita è soggetto a </w:t>
      </w:r>
      <w:proofErr w:type="gramStart"/>
      <w:r>
        <w:rPr>
          <w:rStyle w:val="fontstyle31"/>
        </w:rPr>
        <w:t>T.V.A.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(</w:t>
      </w:r>
      <w:proofErr w:type="gramEnd"/>
      <w:r>
        <w:rPr>
          <w:rStyle w:val="fontstyle31"/>
        </w:rPr>
        <w:t>IVA italiana) che è pari al 20% senza nessuna distinzione tra prima o seconda casa, residenziale o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ufficio.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I prezzi indicati al momento della vendita vengono espressi TVA compresa ed in tal caso saranno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prezzi TTC (</w:t>
      </w:r>
      <w:proofErr w:type="spellStart"/>
      <w:r>
        <w:rPr>
          <w:rStyle w:val="fontstyle31"/>
        </w:rPr>
        <w:t>toutes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taxes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comprises</w:t>
      </w:r>
      <w:proofErr w:type="spellEnd"/>
      <w:r>
        <w:rPr>
          <w:rStyle w:val="fontstyle31"/>
        </w:rPr>
        <w:t>). Nel caso di acquisto di immobili che godono di</w:t>
      </w:r>
      <w:r w:rsidR="00496835">
        <w:rPr>
          <w:rFonts w:ascii="TimesNewRoman" w:hAnsi="TimesNewRoman"/>
          <w:color w:val="000000"/>
        </w:rPr>
        <w:t xml:space="preserve"> </w:t>
      </w:r>
      <w:r>
        <w:rPr>
          <w:rStyle w:val="fontstyle31"/>
        </w:rPr>
        <w:t>defiscalizzazioni all'acquisto (vedi capitolo incentivi fiscali) il prezzo verrà indicato sia al netto di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 xml:space="preserve">TVA e cioè HT (hors </w:t>
      </w:r>
      <w:proofErr w:type="spellStart"/>
      <w:r>
        <w:rPr>
          <w:rStyle w:val="fontstyle31"/>
        </w:rPr>
        <w:t>taxes</w:t>
      </w:r>
      <w:proofErr w:type="spellEnd"/>
      <w:r>
        <w:rPr>
          <w:rStyle w:val="fontstyle31"/>
        </w:rPr>
        <w:t>) sia in TTC.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Il costo del notaio sarà tra il 2,5 ed il 3,5% del prezzo TTC.</w:t>
      </w:r>
      <w:r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.2 Immobili con più di 5 anni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>In questo caso non vi è più la TVA ma una tassa di registro ed il costo totale del rogito sarà tra il 7,5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e l'8,5%. La variabilità è dovuta all'incidenza dei costi fissi che sono gli stessi quale sia il valore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del bene pertanto più sarà alto il valore dell'acquisto più ci si avvicinerà alla soglia bassa di costo.</w:t>
      </w:r>
      <w:r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3</w:t>
      </w:r>
      <w:r>
        <w:rPr>
          <w:rStyle w:val="fontstyle01"/>
          <w:sz w:val="24"/>
          <w:szCs w:val="24"/>
        </w:rPr>
        <w:t>.3 Acquisto finanziato da mutuo bancario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>Le Banche Francesi possono scegliere tra il garantirsi accendendo una ipoteca sul bene finanziato o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chiedendo una fideiussione ad un Istituto Finanziario a loro collegato. In ogni caso il costo per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l’acquirente varia da 1 a 1,5% del valore della garanzia.</w:t>
      </w:r>
    </w:p>
    <w:p w:rsidR="00496835" w:rsidRDefault="00C01090" w:rsidP="009166B3">
      <w:pPr>
        <w:rPr>
          <w:rStyle w:val="fontstyle3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  <w:sz w:val="24"/>
          <w:szCs w:val="24"/>
        </w:rPr>
        <w:t>In ogni caso, se il notaio non garantisce personalmente la buona traduzione bisognerà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aggiungere il costo dell'interprete (circa 500 €).</w:t>
      </w:r>
      <w:r>
        <w:br/>
      </w:r>
      <w:r>
        <w:rPr>
          <w:rFonts w:ascii="TimesNewRoman" w:hAnsi="TimesNewRoman"/>
          <w:color w:val="000000"/>
          <w:sz w:val="20"/>
          <w:szCs w:val="20"/>
        </w:rPr>
        <w:br/>
      </w:r>
      <w:r w:rsidR="00C554DB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. FISCALITA' SUCCESSIVA ALL'ACQUISTO</w:t>
      </w:r>
      <w:r>
        <w:rPr>
          <w:rFonts w:ascii="Bold" w:hAnsi="Bold"/>
          <w:b/>
          <w:bCs/>
          <w:color w:val="000000"/>
        </w:rPr>
        <w:br/>
      </w:r>
      <w:r w:rsidR="00C554DB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.1 Durante il periodo di proprietà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31"/>
        </w:rPr>
        <w:t xml:space="preserve">- Ogni anno bisognerà pagare la </w:t>
      </w:r>
      <w:proofErr w:type="spellStart"/>
      <w:r>
        <w:rPr>
          <w:rStyle w:val="fontstyle01"/>
          <w:sz w:val="24"/>
          <w:szCs w:val="24"/>
        </w:rPr>
        <w:t>Taxe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fonciere</w:t>
      </w:r>
      <w:proofErr w:type="spellEnd"/>
      <w:r>
        <w:rPr>
          <w:rStyle w:val="fontstyle01"/>
          <w:sz w:val="24"/>
          <w:szCs w:val="24"/>
        </w:rPr>
        <w:t xml:space="preserve"> </w:t>
      </w:r>
      <w:r>
        <w:rPr>
          <w:rStyle w:val="fontstyle31"/>
        </w:rPr>
        <w:t>(ICI italiana) il cui valore varia in ogni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località e che, in linea di massima ha la stessa incidenza dell'ICI. A differenza dall'Italia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questa tassa viene pagata con bollettini inviati direttamente dal fisco francese senza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bisogno di fare denunce annuali. Gli immobili nuovi godono di una esenzione biennale della</w:t>
      </w:r>
      <w:r>
        <w:rPr>
          <w:rFonts w:ascii="TimesNewRoman" w:hAnsi="TimesNewRoman"/>
          <w:color w:val="000000"/>
        </w:rPr>
        <w:br/>
      </w:r>
      <w:proofErr w:type="spellStart"/>
      <w:r>
        <w:rPr>
          <w:rStyle w:val="fontstyle31"/>
        </w:rPr>
        <w:t>Taxe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Fonciere</w:t>
      </w:r>
      <w:proofErr w:type="spellEnd"/>
      <w:r>
        <w:rPr>
          <w:rStyle w:val="fontstyle31"/>
        </w:rPr>
        <w:t>.</w:t>
      </w:r>
    </w:p>
    <w:p w:rsidR="00C554DB" w:rsidRDefault="00496835" w:rsidP="009166B3">
      <w:pPr>
        <w:rPr>
          <w:rStyle w:val="fontstyle31"/>
        </w:rPr>
      </w:pPr>
      <w:r>
        <w:rPr>
          <w:rStyle w:val="fontstyle31"/>
        </w:rPr>
        <w:lastRenderedPageBreak/>
        <w:t xml:space="preserve">                                                                             4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- A partire dal 2012 in Italia è stata istituita </w:t>
      </w:r>
      <w:proofErr w:type="gramStart"/>
      <w:r w:rsidR="00C01090">
        <w:rPr>
          <w:rStyle w:val="fontstyle31"/>
        </w:rPr>
        <w:t xml:space="preserve">l’ </w:t>
      </w:r>
      <w:r w:rsidR="00C01090">
        <w:rPr>
          <w:rStyle w:val="fontstyle01"/>
          <w:sz w:val="24"/>
          <w:szCs w:val="24"/>
        </w:rPr>
        <w:t>IVIE</w:t>
      </w:r>
      <w:proofErr w:type="gramEnd"/>
      <w:r w:rsidR="00C01090">
        <w:rPr>
          <w:rStyle w:val="fontstyle01"/>
          <w:sz w:val="24"/>
          <w:szCs w:val="24"/>
        </w:rPr>
        <w:t xml:space="preserve"> </w:t>
      </w:r>
      <w:r w:rsidR="00C01090">
        <w:rPr>
          <w:rStyle w:val="fontstyle31"/>
        </w:rPr>
        <w:t>una imposta patrimoniale dello 0,76%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sugli immobili all’estero di proprietà di residenti in Italia</w:t>
      </w:r>
      <w:r>
        <w:rPr>
          <w:rStyle w:val="fontstyle31"/>
        </w:rPr>
        <w:t xml:space="preserve">. Questa imposta, per evitare la </w:t>
      </w:r>
      <w:r w:rsidR="00C01090">
        <w:rPr>
          <w:rStyle w:val="fontstyle31"/>
        </w:rPr>
        <w:t>doppia imposizione (sia in Italia che nello stato in cui si trovano gli immobili</w:t>
      </w:r>
      <w:proofErr w:type="gramStart"/>
      <w:r w:rsidR="00C01090">
        <w:rPr>
          <w:rStyle w:val="fontstyle31"/>
        </w:rPr>
        <w:t>)</w:t>
      </w:r>
      <w:r w:rsidR="005522BE">
        <w:rPr>
          <w:rStyle w:val="fontstyle31"/>
        </w:rPr>
        <w:t xml:space="preserve">, </w:t>
      </w:r>
      <w:r w:rsidR="00C01090">
        <w:rPr>
          <w:rStyle w:val="fontstyle31"/>
        </w:rPr>
        <w:t xml:space="preserve"> viene</w:t>
      </w:r>
      <w:proofErr w:type="gramEnd"/>
      <w:r w:rsidR="005522BE">
        <w:rPr>
          <w:rStyle w:val="fontstyle31"/>
        </w:rPr>
        <w:t xml:space="preserve"> calcolata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deducendo dallo 0,76% quanto già pagato come imposta dello stato in cui si trova</w:t>
      </w:r>
      <w:r w:rsidR="005522BE">
        <w:rPr>
          <w:rStyle w:val="fontstyle31"/>
        </w:rPr>
        <w:t xml:space="preserve"> l’immobile.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Il valore sul quale calcolare lo 0,76% si trova usando i moltiplicatori dell’ IMU</w:t>
      </w:r>
      <w:r w:rsidR="005522BE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Italiana applicati alla rendita catastale, un appartamento tradizionale usato come casa</w:t>
      </w:r>
      <w:r w:rsidR="005522BE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vacanze o affittato saltuariamente utilizzerà il moltiplicatore residenziale 160, mentre un</w:t>
      </w:r>
      <w:r w:rsidR="005522BE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appartamento gestito con contratto di lungo termine con posizione fiscale di LMNP o</w:t>
      </w:r>
      <w:r w:rsidR="005522BE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affittacamere ammobiliato non professionista utilizza il moltiplicatore delle strutture</w:t>
      </w:r>
      <w:r w:rsidR="005522BE">
        <w:rPr>
          <w:rFonts w:ascii="TimesNewRoman" w:hAnsi="TimesNewRoman"/>
          <w:color w:val="000000"/>
        </w:rPr>
        <w:t xml:space="preserve"> </w:t>
      </w:r>
      <w:r w:rsidR="00C01090">
        <w:rPr>
          <w:rStyle w:val="fontstyle31"/>
        </w:rPr>
        <w:t>alberghiere 65.</w:t>
      </w:r>
      <w:r w:rsidR="00C01090">
        <w:rPr>
          <w:rFonts w:ascii="TimesNewRoman" w:hAnsi="TimesNewRoman"/>
          <w:color w:val="000000"/>
        </w:rPr>
        <w:br/>
      </w:r>
      <w:proofErr w:type="spellStart"/>
      <w:r w:rsidR="00C01090">
        <w:rPr>
          <w:rStyle w:val="fontstyle31"/>
        </w:rPr>
        <w:t>Es</w:t>
      </w:r>
      <w:proofErr w:type="spellEnd"/>
      <w:r w:rsidR="00C01090">
        <w:rPr>
          <w:rStyle w:val="fontstyle31"/>
        </w:rPr>
        <w:t xml:space="preserve">: Un monolocale di 20mq a Nizza ha una rendita catastale di 900€ e paga una </w:t>
      </w:r>
      <w:proofErr w:type="spellStart"/>
      <w:r w:rsidR="00C01090">
        <w:rPr>
          <w:rStyle w:val="fontstyle31"/>
        </w:rPr>
        <w:t>Taxe</w:t>
      </w:r>
      <w:proofErr w:type="spellEnd"/>
      <w:r w:rsidR="00C01090">
        <w:rPr>
          <w:rStyle w:val="fontstyle31"/>
        </w:rPr>
        <w:t xml:space="preserve"> </w:t>
      </w:r>
      <w:proofErr w:type="spellStart"/>
      <w:r w:rsidR="00C01090">
        <w:rPr>
          <w:rStyle w:val="fontstyle31"/>
        </w:rPr>
        <w:t>Fonciere</w:t>
      </w:r>
      <w:proofErr w:type="spellEnd"/>
      <w:r w:rsidR="00C01090">
        <w:rPr>
          <w:rStyle w:val="fontstyle31"/>
        </w:rPr>
        <w:t xml:space="preserve"> di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450€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se acquistato in una struttura tradizionale pagherà un IVIE di: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900€ x 160 x 0,76% =1.094 € – 450€ = 644€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se acquistato con LMNP in una struttura turistica o per studenti pagherà un IVIE di: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900 € x 65 x 0,76% = 444€ - 450€ = 6 € (non dovrà pagare nulla)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- Chi usa l'immobile deve poi pagare la </w:t>
      </w:r>
      <w:proofErr w:type="spellStart"/>
      <w:r w:rsidR="00C01090">
        <w:rPr>
          <w:rStyle w:val="fontstyle01"/>
          <w:sz w:val="24"/>
          <w:szCs w:val="24"/>
        </w:rPr>
        <w:t>Taxe</w:t>
      </w:r>
      <w:proofErr w:type="spellEnd"/>
      <w:r w:rsidR="00C01090">
        <w:rPr>
          <w:rStyle w:val="fontstyle01"/>
          <w:sz w:val="24"/>
          <w:szCs w:val="24"/>
        </w:rPr>
        <w:t xml:space="preserve"> d'</w:t>
      </w:r>
      <w:proofErr w:type="spellStart"/>
      <w:r w:rsidR="00C01090">
        <w:rPr>
          <w:rStyle w:val="fontstyle01"/>
          <w:sz w:val="24"/>
          <w:szCs w:val="24"/>
        </w:rPr>
        <w:t>Habitation</w:t>
      </w:r>
      <w:proofErr w:type="spellEnd"/>
      <w:r w:rsidR="00C01090">
        <w:rPr>
          <w:rStyle w:val="fontstyle01"/>
          <w:sz w:val="24"/>
          <w:szCs w:val="24"/>
        </w:rPr>
        <w:t xml:space="preserve"> </w:t>
      </w:r>
      <w:r w:rsidR="00C01090">
        <w:rPr>
          <w:rStyle w:val="fontstyle31"/>
        </w:rPr>
        <w:t>che, in linea di massima, è pari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alla </w:t>
      </w:r>
      <w:proofErr w:type="spellStart"/>
      <w:r w:rsidR="00C01090">
        <w:rPr>
          <w:rStyle w:val="fontstyle31"/>
        </w:rPr>
        <w:t>Taxe</w:t>
      </w:r>
      <w:proofErr w:type="spellEnd"/>
      <w:r w:rsidR="00C01090">
        <w:rPr>
          <w:rStyle w:val="fontstyle31"/>
        </w:rPr>
        <w:t xml:space="preserve"> </w:t>
      </w:r>
      <w:proofErr w:type="spellStart"/>
      <w:r w:rsidR="00C01090">
        <w:rPr>
          <w:rStyle w:val="fontstyle31"/>
        </w:rPr>
        <w:t>Fonciere</w:t>
      </w:r>
      <w:proofErr w:type="spellEnd"/>
      <w:r w:rsidR="00C01090">
        <w:rPr>
          <w:rStyle w:val="fontstyle31"/>
        </w:rPr>
        <w:t>. Se l’immobile sarà dato in locazione è l’inquilino a doverla pagare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mentre il proprietario, in questo caso, dovrà pagare l'</w:t>
      </w:r>
      <w:proofErr w:type="spellStart"/>
      <w:r w:rsidR="00C01090">
        <w:rPr>
          <w:rStyle w:val="fontstyle31"/>
        </w:rPr>
        <w:t>Impot</w:t>
      </w:r>
      <w:proofErr w:type="spellEnd"/>
      <w:r w:rsidR="00C01090">
        <w:rPr>
          <w:rStyle w:val="fontstyle31"/>
        </w:rPr>
        <w:t xml:space="preserve"> </w:t>
      </w:r>
      <w:proofErr w:type="spellStart"/>
      <w:r w:rsidR="00C01090">
        <w:rPr>
          <w:rStyle w:val="fontstyle31"/>
        </w:rPr>
        <w:t>sur</w:t>
      </w:r>
      <w:proofErr w:type="spellEnd"/>
      <w:r w:rsidR="00C01090">
        <w:rPr>
          <w:rStyle w:val="fontstyle31"/>
        </w:rPr>
        <w:t xml:space="preserve"> le </w:t>
      </w:r>
      <w:proofErr w:type="spellStart"/>
      <w:r w:rsidR="00C01090">
        <w:rPr>
          <w:rStyle w:val="fontstyle31"/>
        </w:rPr>
        <w:t>Revenu</w:t>
      </w:r>
      <w:proofErr w:type="spellEnd"/>
      <w:r w:rsidR="00C01090">
        <w:rPr>
          <w:rStyle w:val="fontstyle31"/>
        </w:rPr>
        <w:t xml:space="preserve"> (Imposta sul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reddito).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- </w:t>
      </w:r>
      <w:r w:rsidR="00C01090">
        <w:rPr>
          <w:rStyle w:val="fontstyle01"/>
          <w:sz w:val="24"/>
          <w:szCs w:val="24"/>
        </w:rPr>
        <w:t>L'</w:t>
      </w:r>
      <w:proofErr w:type="spellStart"/>
      <w:r w:rsidR="00C01090">
        <w:rPr>
          <w:rStyle w:val="fontstyle01"/>
          <w:sz w:val="24"/>
          <w:szCs w:val="24"/>
        </w:rPr>
        <w:t>Impot</w:t>
      </w:r>
      <w:proofErr w:type="spellEnd"/>
      <w:r w:rsidR="00C01090">
        <w:rPr>
          <w:rStyle w:val="fontstyle01"/>
          <w:sz w:val="24"/>
          <w:szCs w:val="24"/>
        </w:rPr>
        <w:t xml:space="preserve"> </w:t>
      </w:r>
      <w:proofErr w:type="spellStart"/>
      <w:r w:rsidR="00C01090">
        <w:rPr>
          <w:rStyle w:val="fontstyle01"/>
          <w:sz w:val="24"/>
          <w:szCs w:val="24"/>
        </w:rPr>
        <w:t>sur</w:t>
      </w:r>
      <w:proofErr w:type="spellEnd"/>
      <w:r w:rsidR="00C01090">
        <w:rPr>
          <w:rStyle w:val="fontstyle01"/>
          <w:sz w:val="24"/>
          <w:szCs w:val="24"/>
        </w:rPr>
        <w:t xml:space="preserve"> le </w:t>
      </w:r>
      <w:proofErr w:type="spellStart"/>
      <w:r w:rsidR="00C01090">
        <w:rPr>
          <w:rStyle w:val="fontstyle01"/>
          <w:sz w:val="24"/>
          <w:szCs w:val="24"/>
        </w:rPr>
        <w:t>Revenus</w:t>
      </w:r>
      <w:proofErr w:type="spellEnd"/>
      <w:r w:rsidR="00C01090">
        <w:rPr>
          <w:rStyle w:val="fontstyle01"/>
          <w:sz w:val="24"/>
          <w:szCs w:val="24"/>
        </w:rPr>
        <w:t xml:space="preserve"> </w:t>
      </w:r>
      <w:r w:rsidR="00C01090">
        <w:rPr>
          <w:rStyle w:val="fontstyle31"/>
        </w:rPr>
        <w:t>per i REVENUS FONCIERS (redditi fondiari) per i non residenti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in Francia, è pari al 20% del 70% dell’affitto effettivamente incassato dopo aver dedotto gli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eventuali interessi sul mutuo che ha finanziato l’acquisto.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La convenzione fiscale tra Francia ed Italia, al fine di evitare la doppia imposizione, prevede che le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imposte sul reddito pagate in Francia siano considerate come acconto di imposta su quanto il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proprietario dovrà pagare in Italia sullo stesso reddito. Esempio: se il proprietario in Italia ha un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livello di imposizione che tocca il 38% ed incassa 10.000 € di affitto in Francia, in Italia egli dovrà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pagare una imposta pari al 38% su 7.000 € (il 70% degli affitti incassati) cioè 2.660 € che, dedotti i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1.400 € (20% di 7.000) già pagati in Francia, diventeranno 1.220 € da versare al fisco Italiano.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In totale egli avrà pagato il 38% come previsto dall'imposizione fiscale Italiana.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4</w:t>
      </w:r>
      <w:r w:rsidR="00C01090">
        <w:rPr>
          <w:rStyle w:val="fontstyle01"/>
          <w:sz w:val="24"/>
          <w:szCs w:val="24"/>
        </w:rPr>
        <w:t>.2 In caso di rivendita</w:t>
      </w:r>
      <w:r w:rsidR="00C01090">
        <w:rPr>
          <w:rFonts w:ascii="Bold" w:hAnsi="Bold"/>
          <w:b/>
          <w:bCs/>
          <w:color w:val="000000"/>
        </w:rPr>
        <w:br/>
      </w:r>
      <w:r w:rsidR="00C01090">
        <w:rPr>
          <w:rStyle w:val="fontstyle31"/>
        </w:rPr>
        <w:t>Il cittadino non residente in Francia, in caso di rivendita, dovrà pagare un imposta pari al 19 % della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plusvalenza realizzata calcolata come differenza tra il prezzo di vendita e quello di acquisto.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 xml:space="preserve">Se la rivendita </w:t>
      </w:r>
      <w:proofErr w:type="spellStart"/>
      <w:r w:rsidR="00C01090">
        <w:rPr>
          <w:rStyle w:val="fontstyle31"/>
        </w:rPr>
        <w:t>e’</w:t>
      </w:r>
      <w:proofErr w:type="spellEnd"/>
      <w:r w:rsidR="00C01090">
        <w:rPr>
          <w:rStyle w:val="fontstyle31"/>
        </w:rPr>
        <w:t xml:space="preserve"> realizzata nei primi 5 anni dal momento dell’acquisto, l’importo sarà calcolato sul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totale della plusvalenza realizzata. A partire dal 6° al 21° anno la plusvalenza sulla quale calcolare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l’importo viene abbattuta ogni anno di un 6%, al 22° del 4%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Dopo 22 an</w:t>
      </w:r>
      <w:r w:rsidR="005522BE">
        <w:rPr>
          <w:rStyle w:val="fontstyle31"/>
        </w:rPr>
        <w:t>ni di proprietà in caso di plus</w:t>
      </w:r>
      <w:r w:rsidR="00C01090">
        <w:rPr>
          <w:rStyle w:val="fontstyle31"/>
        </w:rPr>
        <w:t>valenza non vi saranno più imposte da pagare ( legge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finanziaria di agosto 2015).</w:t>
      </w:r>
      <w:r w:rsidR="00C01090">
        <w:br/>
      </w:r>
      <w:r w:rsidR="00C01090">
        <w:rPr>
          <w:rStyle w:val="fontstyle31"/>
        </w:rPr>
        <w:t>La plusvalenza dichiarata al fisco francese dovrà essere riportata sulla denuncia dei redditi italiana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ed, in fase di determinazione dell’importo dell’imposta si detrarrà quanto già pagato in Francia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(principio del non assoggettamento a doppia imposizione)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Dopo il 22° anno dall’acquisto non vi sono più imposte sulle plusvalenze.</w:t>
      </w:r>
      <w:r w:rsidR="00C01090">
        <w:rPr>
          <w:rFonts w:ascii="TimesNewRoman" w:hAnsi="TimesNewRoman"/>
          <w:color w:val="000000"/>
        </w:rPr>
        <w:br/>
      </w:r>
      <w:r w:rsidR="00C554DB">
        <w:rPr>
          <w:rStyle w:val="fontstyle01"/>
          <w:sz w:val="24"/>
          <w:szCs w:val="24"/>
        </w:rPr>
        <w:t>4</w:t>
      </w:r>
      <w:r w:rsidR="00C01090">
        <w:rPr>
          <w:rStyle w:val="fontstyle01"/>
          <w:sz w:val="24"/>
          <w:szCs w:val="24"/>
        </w:rPr>
        <w:t>.3 Successione</w:t>
      </w:r>
      <w:r w:rsidR="00C01090">
        <w:rPr>
          <w:rFonts w:ascii="Bold" w:hAnsi="Bold"/>
          <w:b/>
          <w:bCs/>
          <w:color w:val="000000"/>
        </w:rPr>
        <w:br/>
      </w:r>
      <w:r w:rsidR="00C01090">
        <w:rPr>
          <w:rStyle w:val="fontstyle31"/>
        </w:rPr>
        <w:t>In caso di successione il valore degli immobili situati in Francia non si sommerà a quanto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posseduto in Italia ma verrà fatta una successione da un notaio Francese che chiederà agli eredi una</w:t>
      </w:r>
      <w:r w:rsidR="00C01090">
        <w:rPr>
          <w:rFonts w:ascii="TimesNewRoman" w:hAnsi="TimesNewRoman"/>
          <w:color w:val="000000"/>
        </w:rPr>
        <w:br/>
      </w:r>
      <w:r w:rsidR="00C01090">
        <w:rPr>
          <w:rStyle w:val="fontstyle31"/>
        </w:rPr>
        <w:t>certificazione da parte del notaio italiano circa l’asse ereditario del deceduto.</w:t>
      </w:r>
      <w:r w:rsidR="00C01090">
        <w:rPr>
          <w:rFonts w:ascii="TimesNewRoman" w:hAnsi="TimesNewRoman"/>
          <w:color w:val="000000"/>
        </w:rPr>
        <w:br/>
      </w:r>
    </w:p>
    <w:p w:rsidR="00C554DB" w:rsidRDefault="00C554DB" w:rsidP="009166B3">
      <w:pPr>
        <w:rPr>
          <w:rStyle w:val="fontstyle31"/>
        </w:rPr>
      </w:pPr>
      <w:r>
        <w:rPr>
          <w:rStyle w:val="fontstyle31"/>
        </w:rPr>
        <w:lastRenderedPageBreak/>
        <w:t xml:space="preserve">                                                                             5</w:t>
      </w:r>
    </w:p>
    <w:p w:rsidR="001206B9" w:rsidRDefault="00C01090" w:rsidP="009166B3">
      <w:pPr>
        <w:rPr>
          <w:rStyle w:val="fontstyle31"/>
        </w:rPr>
      </w:pPr>
      <w:r>
        <w:rPr>
          <w:rStyle w:val="fontstyle31"/>
        </w:rPr>
        <w:t>Seguendo l’asse ereditario indicato dal notaio italiano verrà fatta la successione francese.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In linea diretta cioè figli che ereditano dal genitore vi sarà una soglia di non imponibilità di 100.000</w:t>
      </w:r>
      <w:r>
        <w:rPr>
          <w:rFonts w:ascii="TimesNewRoman" w:hAnsi="TimesNewRoman"/>
          <w:color w:val="000000"/>
        </w:rPr>
        <w:br/>
      </w:r>
      <w:r w:rsidR="005522BE">
        <w:rPr>
          <w:rStyle w:val="fontstyle31"/>
        </w:rPr>
        <w:t>€</w:t>
      </w:r>
      <w:bookmarkStart w:id="0" w:name="_GoBack"/>
      <w:bookmarkEnd w:id="0"/>
      <w:r>
        <w:rPr>
          <w:rStyle w:val="fontstyle31"/>
        </w:rPr>
        <w:t xml:space="preserve"> per ogni figlio del deceduto, oltre questa somma si pagherà una imposta crescente da 5 al 20%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fino a 16.000 € poi da 16.000 a 550.000 € l’imposta sarà il 20% del valore degli immobili, oltre i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550.00 € salirà fino al 45% per i patrimoni superiori a 1.800.000 €.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La successione tra coniugi non è imponibile.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Questo vuol dire che se un immobile è di proprietà di due coniugi con due figli ogni figlio avrà una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soglia di non imponibilità in caso di decesso di uno dei genitori di 100.000 € e pertanto, in caso di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proprietà di un immobile di valore 400.000 € nessuna imposta di successione dovrà essere pagata al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decesso dei due genitori.</w:t>
      </w:r>
      <w:r>
        <w:rPr>
          <w:rFonts w:ascii="TimesNewRoman" w:hAnsi="TimesNewRoman"/>
          <w:color w:val="000000"/>
        </w:rPr>
        <w:br/>
      </w:r>
      <w:r>
        <w:rPr>
          <w:rStyle w:val="fontstyle31"/>
        </w:rPr>
        <w:t>La valutazione degli immobili dovrà essere fatta da</w:t>
      </w:r>
      <w:r w:rsidR="001206B9">
        <w:rPr>
          <w:rStyle w:val="fontstyle31"/>
        </w:rPr>
        <w:t xml:space="preserve"> un agente immobiliare francese.</w:t>
      </w:r>
    </w:p>
    <w:p w:rsidR="001206B9" w:rsidRDefault="001206B9" w:rsidP="009166B3">
      <w:pPr>
        <w:rPr>
          <w:rStyle w:val="fontstyle31"/>
        </w:rPr>
      </w:pPr>
    </w:p>
    <w:p w:rsidR="003C4F53" w:rsidRPr="009166B3" w:rsidRDefault="001206B9" w:rsidP="001206B9">
      <w:pPr>
        <w:jc w:val="center"/>
        <w:rPr>
          <w:rFonts w:ascii="TimesNewRoman" w:hAnsi="TimesNewRoman"/>
          <w:color w:val="000000"/>
          <w:sz w:val="24"/>
          <w:szCs w:val="24"/>
        </w:rPr>
      </w:pPr>
      <w:r w:rsidRPr="001206B9">
        <w:rPr>
          <w:rStyle w:val="fontstyle31"/>
          <w:color w:val="833C0B" w:themeColor="accent2" w:themeShade="80"/>
        </w:rPr>
        <w:t xml:space="preserve">RCM </w:t>
      </w:r>
      <w:proofErr w:type="gramStart"/>
      <w:r w:rsidRPr="001206B9">
        <w:rPr>
          <w:rStyle w:val="fontstyle31"/>
          <w:color w:val="833C0B" w:themeColor="accent2" w:themeShade="80"/>
        </w:rPr>
        <w:t>INVEST  -</w:t>
      </w:r>
      <w:proofErr w:type="gramEnd"/>
      <w:r w:rsidRPr="001206B9">
        <w:rPr>
          <w:rStyle w:val="fontstyle31"/>
          <w:color w:val="833C0B" w:themeColor="accent2" w:themeShade="80"/>
        </w:rPr>
        <w:t xml:space="preserve">  RCS NICE 794213108</w:t>
      </w:r>
      <w:r w:rsidR="00C01090">
        <w:rPr>
          <w:rFonts w:ascii="TimesNewRoman" w:hAnsi="TimesNewRoman"/>
          <w:color w:val="000000"/>
        </w:rPr>
        <w:br/>
      </w:r>
    </w:p>
    <w:sectPr w:rsidR="003C4F53" w:rsidRPr="00916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1276"/>
    <w:multiLevelType w:val="hybridMultilevel"/>
    <w:tmpl w:val="1E9CCC68"/>
    <w:lvl w:ilvl="0" w:tplc="16E80B76">
      <w:start w:val="2"/>
      <w:numFmt w:val="bullet"/>
      <w:lvlText w:val="-"/>
      <w:lvlJc w:val="left"/>
      <w:pPr>
        <w:ind w:left="4080" w:hanging="360"/>
      </w:pPr>
      <w:rPr>
        <w:rFonts w:ascii="TimesNewRoman" w:eastAsiaTheme="minorHAnsi" w:hAnsi="TimesNew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7201525F"/>
    <w:multiLevelType w:val="hybridMultilevel"/>
    <w:tmpl w:val="EE4C6EC4"/>
    <w:lvl w:ilvl="0" w:tplc="8BF6C1B0">
      <w:start w:val="2"/>
      <w:numFmt w:val="bullet"/>
      <w:lvlText w:val="-"/>
      <w:lvlJc w:val="left"/>
      <w:pPr>
        <w:ind w:left="4320" w:hanging="360"/>
      </w:pPr>
      <w:rPr>
        <w:rFonts w:ascii="TimesNewRoman" w:eastAsiaTheme="minorHAnsi" w:hAnsi="TimesNew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B4B3EF4"/>
    <w:multiLevelType w:val="hybridMultilevel"/>
    <w:tmpl w:val="69927E82"/>
    <w:lvl w:ilvl="0" w:tplc="E760D6C2">
      <w:start w:val="2"/>
      <w:numFmt w:val="bullet"/>
      <w:lvlText w:val="-"/>
      <w:lvlJc w:val="left"/>
      <w:pPr>
        <w:ind w:left="3960" w:hanging="360"/>
      </w:pPr>
      <w:rPr>
        <w:rFonts w:ascii="TimesNewRoman" w:eastAsiaTheme="minorHAnsi" w:hAnsi="TimesNew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0"/>
    <w:rsid w:val="000165C6"/>
    <w:rsid w:val="00044B1F"/>
    <w:rsid w:val="0007156C"/>
    <w:rsid w:val="00092339"/>
    <w:rsid w:val="000F003A"/>
    <w:rsid w:val="000F6612"/>
    <w:rsid w:val="00115CD9"/>
    <w:rsid w:val="001206B9"/>
    <w:rsid w:val="00122F12"/>
    <w:rsid w:val="001311A6"/>
    <w:rsid w:val="00133752"/>
    <w:rsid w:val="0015195F"/>
    <w:rsid w:val="00163204"/>
    <w:rsid w:val="0016436E"/>
    <w:rsid w:val="001649AC"/>
    <w:rsid w:val="001A1BA5"/>
    <w:rsid w:val="001B30FC"/>
    <w:rsid w:val="001B6F05"/>
    <w:rsid w:val="001D16B9"/>
    <w:rsid w:val="001F37CF"/>
    <w:rsid w:val="00215079"/>
    <w:rsid w:val="0022547D"/>
    <w:rsid w:val="0026642D"/>
    <w:rsid w:val="0027639C"/>
    <w:rsid w:val="002A4253"/>
    <w:rsid w:val="002C0CE6"/>
    <w:rsid w:val="002C3C15"/>
    <w:rsid w:val="002D51CE"/>
    <w:rsid w:val="0030671B"/>
    <w:rsid w:val="00323A4D"/>
    <w:rsid w:val="00344538"/>
    <w:rsid w:val="0034611D"/>
    <w:rsid w:val="00394BCE"/>
    <w:rsid w:val="003C2047"/>
    <w:rsid w:val="004617C3"/>
    <w:rsid w:val="00496835"/>
    <w:rsid w:val="004D275A"/>
    <w:rsid w:val="004F6D55"/>
    <w:rsid w:val="005119EB"/>
    <w:rsid w:val="00513FE4"/>
    <w:rsid w:val="00514327"/>
    <w:rsid w:val="00514A2B"/>
    <w:rsid w:val="00523676"/>
    <w:rsid w:val="00524FD1"/>
    <w:rsid w:val="00527C14"/>
    <w:rsid w:val="0053323E"/>
    <w:rsid w:val="005522BE"/>
    <w:rsid w:val="005769BC"/>
    <w:rsid w:val="00580CA7"/>
    <w:rsid w:val="005B75DD"/>
    <w:rsid w:val="005C0DF7"/>
    <w:rsid w:val="005E1D19"/>
    <w:rsid w:val="005E3847"/>
    <w:rsid w:val="005F434D"/>
    <w:rsid w:val="00614768"/>
    <w:rsid w:val="006D6F2A"/>
    <w:rsid w:val="006F5903"/>
    <w:rsid w:val="007A7A11"/>
    <w:rsid w:val="007C131D"/>
    <w:rsid w:val="007D57B3"/>
    <w:rsid w:val="007D58DD"/>
    <w:rsid w:val="008014B5"/>
    <w:rsid w:val="00807AFE"/>
    <w:rsid w:val="00817926"/>
    <w:rsid w:val="00822079"/>
    <w:rsid w:val="008571F9"/>
    <w:rsid w:val="008C12A2"/>
    <w:rsid w:val="008E7CCB"/>
    <w:rsid w:val="008F4DC1"/>
    <w:rsid w:val="009166B3"/>
    <w:rsid w:val="00926CB7"/>
    <w:rsid w:val="00940D8E"/>
    <w:rsid w:val="00977D3F"/>
    <w:rsid w:val="00985DC1"/>
    <w:rsid w:val="009A4B60"/>
    <w:rsid w:val="009B25BA"/>
    <w:rsid w:val="009E1B23"/>
    <w:rsid w:val="00A310A9"/>
    <w:rsid w:val="00A3272E"/>
    <w:rsid w:val="00A55CAD"/>
    <w:rsid w:val="00AD5A38"/>
    <w:rsid w:val="00B01A33"/>
    <w:rsid w:val="00B12239"/>
    <w:rsid w:val="00B161A1"/>
    <w:rsid w:val="00B21C51"/>
    <w:rsid w:val="00B30C69"/>
    <w:rsid w:val="00B35347"/>
    <w:rsid w:val="00B53BEE"/>
    <w:rsid w:val="00B570D2"/>
    <w:rsid w:val="00B66809"/>
    <w:rsid w:val="00B8670A"/>
    <w:rsid w:val="00BC3C66"/>
    <w:rsid w:val="00BC56FF"/>
    <w:rsid w:val="00BD775C"/>
    <w:rsid w:val="00C01090"/>
    <w:rsid w:val="00C11D39"/>
    <w:rsid w:val="00C13A50"/>
    <w:rsid w:val="00C1568D"/>
    <w:rsid w:val="00C371C7"/>
    <w:rsid w:val="00C520E3"/>
    <w:rsid w:val="00C554DB"/>
    <w:rsid w:val="00CA187A"/>
    <w:rsid w:val="00CB6F34"/>
    <w:rsid w:val="00CC586C"/>
    <w:rsid w:val="00D0325E"/>
    <w:rsid w:val="00D10E02"/>
    <w:rsid w:val="00D11C80"/>
    <w:rsid w:val="00D246A8"/>
    <w:rsid w:val="00D32537"/>
    <w:rsid w:val="00D371CA"/>
    <w:rsid w:val="00D63042"/>
    <w:rsid w:val="00DA140F"/>
    <w:rsid w:val="00E05937"/>
    <w:rsid w:val="00E20E99"/>
    <w:rsid w:val="00E3501B"/>
    <w:rsid w:val="00E378DC"/>
    <w:rsid w:val="00E63B6E"/>
    <w:rsid w:val="00EA100C"/>
    <w:rsid w:val="00EA7735"/>
    <w:rsid w:val="00EB18C1"/>
    <w:rsid w:val="00EB63FC"/>
    <w:rsid w:val="00EF01CC"/>
    <w:rsid w:val="00EF470E"/>
    <w:rsid w:val="00F05D48"/>
    <w:rsid w:val="00F06523"/>
    <w:rsid w:val="00F07725"/>
    <w:rsid w:val="00F15EEA"/>
    <w:rsid w:val="00F615A3"/>
    <w:rsid w:val="00F911F6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DA31-8F33-4CC9-BE92-FECCD19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01090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C01090"/>
    <w:rPr>
      <w:rFonts w:ascii="BoldItalic" w:hAnsi="Bold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C0109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8D36-49DF-4338-B278-3E3DC082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Mattoni gestiti Fenocchio</dc:creator>
  <cp:keywords/>
  <dc:description/>
  <cp:lastModifiedBy>Mattoni gestiti Fenocchio</cp:lastModifiedBy>
  <cp:revision>6</cp:revision>
  <dcterms:created xsi:type="dcterms:W3CDTF">2019-06-10T10:28:00Z</dcterms:created>
  <dcterms:modified xsi:type="dcterms:W3CDTF">2019-06-10T12:27:00Z</dcterms:modified>
</cp:coreProperties>
</file>